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43" w:rsidRPr="004F6C43" w:rsidRDefault="004F6C43" w:rsidP="004F6C43">
      <w:pPr>
        <w:keepNext/>
        <w:keepLines/>
        <w:spacing w:after="240" w:line="220" w:lineRule="atLeast"/>
        <w:jc w:val="center"/>
        <w:outlineLvl w:val="1"/>
        <w:rPr>
          <w:rFonts w:ascii="Arial" w:eastAsia="Times New Roman" w:hAnsi="Arial" w:cs="Arial"/>
          <w:b/>
          <w:spacing w:val="-10"/>
          <w:kern w:val="20"/>
          <w:sz w:val="24"/>
          <w:szCs w:val="24"/>
        </w:rPr>
      </w:pPr>
      <w:r>
        <w:rPr>
          <w:rFonts w:ascii="Arial" w:eastAsia="Times New Roman" w:hAnsi="Arial" w:cs="Arial"/>
          <w:b/>
          <w:spacing w:val="-10"/>
          <w:kern w:val="20"/>
          <w:sz w:val="24"/>
          <w:szCs w:val="24"/>
        </w:rPr>
        <w:t>Bytový dom: .......... vchod: ........ adresa: .................................  069 01 Snina</w:t>
      </w:r>
    </w:p>
    <w:p w:rsidR="004F6C43" w:rsidRPr="004F6C43" w:rsidRDefault="004F6C43" w:rsidP="004F6C43">
      <w:pPr>
        <w:keepNext/>
        <w:keepLines/>
        <w:spacing w:after="0" w:line="220" w:lineRule="atLeast"/>
        <w:jc w:val="center"/>
        <w:outlineLvl w:val="1"/>
        <w:rPr>
          <w:rFonts w:ascii="Arial Black" w:eastAsia="Arial Unicode MS" w:hAnsi="Arial Black" w:cs="Times New Roman"/>
          <w:spacing w:val="-10"/>
          <w:kern w:val="20"/>
          <w:sz w:val="48"/>
          <w:szCs w:val="20"/>
        </w:rPr>
      </w:pPr>
      <w:r w:rsidRPr="004F6C43">
        <w:rPr>
          <w:rFonts w:ascii="Arial Black" w:eastAsia="Times New Roman" w:hAnsi="Arial Black" w:cs="Times New Roman"/>
          <w:spacing w:val="-10"/>
          <w:kern w:val="20"/>
          <w:sz w:val="48"/>
          <w:szCs w:val="20"/>
        </w:rPr>
        <w:t>POZVÁNKA</w:t>
      </w:r>
    </w:p>
    <w:p w:rsidR="004F6C43" w:rsidRPr="004F6C43" w:rsidRDefault="004F6C43" w:rsidP="004F6C43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</w:p>
    <w:p w:rsidR="004F6C43" w:rsidRPr="004F6C43" w:rsidRDefault="004F6C43" w:rsidP="006520F5">
      <w:pPr>
        <w:spacing w:after="0" w:line="240" w:lineRule="auto"/>
        <w:ind w:left="360"/>
        <w:jc w:val="center"/>
        <w:rPr>
          <w:rFonts w:ascii="Arial" w:eastAsia="Times New Roman" w:hAnsi="Arial" w:cs="Times New Roman"/>
          <w:spacing w:val="-5"/>
          <w:szCs w:val="20"/>
        </w:rPr>
      </w:pPr>
      <w:r>
        <w:rPr>
          <w:rFonts w:ascii="Arial" w:eastAsia="Times New Roman" w:hAnsi="Arial" w:cs="Times New Roman"/>
          <w:spacing w:val="-5"/>
          <w:szCs w:val="20"/>
        </w:rPr>
        <w:t>V</w:t>
      </w:r>
      <w:r w:rsidRPr="004F6C43">
        <w:rPr>
          <w:rFonts w:ascii="Arial" w:eastAsia="Times New Roman" w:hAnsi="Arial" w:cs="Times New Roman"/>
          <w:spacing w:val="-5"/>
          <w:szCs w:val="20"/>
        </w:rPr>
        <w:t xml:space="preserve"> súlade s §8b a §14 zák. č. 182/1993 Z.z. o vlastníctve bytov v platnom znení, </w:t>
      </w:r>
      <w:r w:rsidR="006520F5">
        <w:rPr>
          <w:rFonts w:ascii="Arial" w:eastAsia="Times New Roman" w:hAnsi="Arial" w:cs="Times New Roman"/>
          <w:spacing w:val="-5"/>
          <w:szCs w:val="20"/>
        </w:rPr>
        <w:t xml:space="preserve">zvolávam </w:t>
      </w:r>
      <w:r w:rsidRPr="004F6C43">
        <w:rPr>
          <w:rFonts w:ascii="Arial" w:eastAsia="Times New Roman" w:hAnsi="Arial" w:cs="Times New Roman"/>
          <w:spacing w:val="-5"/>
          <w:szCs w:val="20"/>
        </w:rPr>
        <w:t>schôdzu vlastníkov,   ktorá sa uskutoční dňa:</w:t>
      </w:r>
    </w:p>
    <w:p w:rsidR="004F6C43" w:rsidRPr="004F6C43" w:rsidRDefault="004F6C43" w:rsidP="004F6C43">
      <w:pPr>
        <w:spacing w:after="0" w:line="240" w:lineRule="auto"/>
        <w:ind w:left="360"/>
        <w:jc w:val="both"/>
        <w:rPr>
          <w:rFonts w:ascii="Arial" w:eastAsia="Times New Roman" w:hAnsi="Arial" w:cs="Times New Roman"/>
          <w:spacing w:val="-5"/>
          <w:szCs w:val="20"/>
        </w:rPr>
      </w:pPr>
    </w:p>
    <w:p w:rsidR="004F6C43" w:rsidRPr="004F6C43" w:rsidRDefault="006520F5" w:rsidP="004F6C43">
      <w:pPr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pacing w:val="-5"/>
          <w:sz w:val="28"/>
          <w:szCs w:val="20"/>
        </w:rPr>
      </w:pPr>
      <w:r>
        <w:rPr>
          <w:rFonts w:ascii="Arial" w:eastAsia="Times New Roman" w:hAnsi="Arial" w:cs="Times New Roman"/>
          <w:b/>
          <w:spacing w:val="-5"/>
          <w:sz w:val="28"/>
          <w:szCs w:val="20"/>
        </w:rPr>
        <w:t xml:space="preserve">.... </w:t>
      </w:r>
      <w:r w:rsidR="004F6C43" w:rsidRPr="004F6C43">
        <w:rPr>
          <w:rFonts w:ascii="Arial" w:eastAsia="Times New Roman" w:hAnsi="Arial" w:cs="Times New Roman"/>
          <w:b/>
          <w:spacing w:val="-5"/>
          <w:sz w:val="28"/>
          <w:szCs w:val="20"/>
        </w:rPr>
        <w:t>.</w:t>
      </w:r>
      <w:r>
        <w:rPr>
          <w:rFonts w:ascii="Arial" w:eastAsia="Times New Roman" w:hAnsi="Arial" w:cs="Times New Roman"/>
          <w:b/>
          <w:spacing w:val="-5"/>
          <w:sz w:val="28"/>
          <w:szCs w:val="20"/>
        </w:rPr>
        <w:t xml:space="preserve"> .... . ..........</w:t>
      </w:r>
      <w:r w:rsidR="004F6C43" w:rsidRPr="004F6C43">
        <w:rPr>
          <w:rFonts w:ascii="Arial" w:eastAsia="Times New Roman" w:hAnsi="Arial" w:cs="Times New Roman"/>
          <w:b/>
          <w:spacing w:val="-5"/>
          <w:sz w:val="28"/>
          <w:szCs w:val="20"/>
        </w:rPr>
        <w:t xml:space="preserve"> o </w:t>
      </w:r>
      <w:r>
        <w:rPr>
          <w:rFonts w:ascii="Arial" w:eastAsia="Times New Roman" w:hAnsi="Arial" w:cs="Times New Roman"/>
          <w:b/>
          <w:spacing w:val="-5"/>
          <w:sz w:val="28"/>
          <w:szCs w:val="20"/>
        </w:rPr>
        <w:t>.......</w:t>
      </w:r>
      <w:r w:rsidR="004F6C43" w:rsidRPr="004F6C43">
        <w:rPr>
          <w:rFonts w:ascii="Arial" w:eastAsia="Times New Roman" w:hAnsi="Arial" w:cs="Times New Roman"/>
          <w:b/>
          <w:spacing w:val="-5"/>
          <w:sz w:val="28"/>
          <w:szCs w:val="20"/>
        </w:rPr>
        <w:t xml:space="preserve"> hod. (</w:t>
      </w:r>
      <w:r>
        <w:rPr>
          <w:rFonts w:ascii="Arial" w:eastAsia="Times New Roman" w:hAnsi="Arial" w:cs="Times New Roman"/>
          <w:b/>
          <w:spacing w:val="-5"/>
          <w:sz w:val="28"/>
          <w:szCs w:val="20"/>
        </w:rPr>
        <w:t>...................</w:t>
      </w:r>
      <w:r w:rsidR="004F6C43" w:rsidRPr="004F6C43">
        <w:rPr>
          <w:rFonts w:ascii="Arial" w:eastAsia="Times New Roman" w:hAnsi="Arial" w:cs="Times New Roman"/>
          <w:b/>
          <w:spacing w:val="-5"/>
          <w:sz w:val="28"/>
          <w:szCs w:val="20"/>
        </w:rPr>
        <w:t>)</w:t>
      </w:r>
    </w:p>
    <w:p w:rsidR="004F6C43" w:rsidRPr="004F6C43" w:rsidRDefault="004F6C43" w:rsidP="004F6C43">
      <w:pPr>
        <w:spacing w:after="0" w:line="240" w:lineRule="auto"/>
        <w:ind w:left="360"/>
        <w:jc w:val="center"/>
        <w:rPr>
          <w:rFonts w:ascii="Arial" w:eastAsia="Times New Roman" w:hAnsi="Arial" w:cs="Times New Roman"/>
          <w:spacing w:val="-5"/>
          <w:szCs w:val="20"/>
        </w:rPr>
      </w:pPr>
    </w:p>
    <w:p w:rsidR="004F6C43" w:rsidRPr="004F6C43" w:rsidRDefault="004F6C43" w:rsidP="00FA2828">
      <w:pPr>
        <w:spacing w:before="240" w:after="0" w:line="240" w:lineRule="auto"/>
        <w:ind w:left="357"/>
        <w:jc w:val="center"/>
        <w:rPr>
          <w:rFonts w:ascii="Arial" w:eastAsia="Times New Roman" w:hAnsi="Arial" w:cs="Times New Roman"/>
          <w:b/>
          <w:spacing w:val="-5"/>
          <w:szCs w:val="20"/>
        </w:rPr>
      </w:pPr>
      <w:r w:rsidRPr="004F6C43">
        <w:rPr>
          <w:rFonts w:ascii="Arial" w:eastAsia="Times New Roman" w:hAnsi="Arial" w:cs="Times New Roman"/>
          <w:b/>
          <w:spacing w:val="-5"/>
          <w:szCs w:val="20"/>
        </w:rPr>
        <w:t>v </w:t>
      </w:r>
      <w:r w:rsidR="006520F5">
        <w:rPr>
          <w:rFonts w:ascii="Arial" w:eastAsia="Times New Roman" w:hAnsi="Arial" w:cs="Times New Roman"/>
          <w:b/>
          <w:spacing w:val="-5"/>
          <w:szCs w:val="20"/>
        </w:rPr>
        <w:t>...................................................</w:t>
      </w:r>
      <w:r w:rsidR="00FA2828">
        <w:rPr>
          <w:rFonts w:ascii="Arial" w:eastAsia="Times New Roman" w:hAnsi="Arial" w:cs="Times New Roman"/>
          <w:b/>
          <w:spacing w:val="-5"/>
          <w:szCs w:val="20"/>
        </w:rPr>
        <w:t>.....</w:t>
      </w:r>
      <w:r w:rsidR="006520F5">
        <w:rPr>
          <w:rFonts w:ascii="Arial" w:eastAsia="Times New Roman" w:hAnsi="Arial" w:cs="Times New Roman"/>
          <w:b/>
          <w:spacing w:val="-5"/>
          <w:szCs w:val="20"/>
        </w:rPr>
        <w:t>.............</w:t>
      </w:r>
      <w:r w:rsidRPr="004F6C43">
        <w:rPr>
          <w:rFonts w:ascii="Arial" w:eastAsia="Times New Roman" w:hAnsi="Arial" w:cs="Times New Roman"/>
          <w:b/>
          <w:spacing w:val="-5"/>
          <w:szCs w:val="20"/>
        </w:rPr>
        <w:t xml:space="preserve">  s týmto programom:</w:t>
      </w:r>
    </w:p>
    <w:p w:rsidR="004F6C43" w:rsidRPr="004F6C43" w:rsidRDefault="004F6C43" w:rsidP="004F6C43">
      <w:pPr>
        <w:spacing w:after="0" w:line="240" w:lineRule="auto"/>
        <w:ind w:left="360"/>
        <w:jc w:val="both"/>
        <w:rPr>
          <w:rFonts w:ascii="Arial" w:eastAsia="Times New Roman" w:hAnsi="Arial" w:cs="Times New Roman"/>
          <w:spacing w:val="-5"/>
          <w:szCs w:val="20"/>
        </w:rPr>
      </w:pPr>
    </w:p>
    <w:p w:rsidR="004F6C43" w:rsidRPr="004F6C43" w:rsidRDefault="004F6C43" w:rsidP="00FA2828">
      <w:pPr>
        <w:numPr>
          <w:ilvl w:val="0"/>
          <w:numId w:val="1"/>
        </w:numPr>
        <w:tabs>
          <w:tab w:val="num" w:pos="942"/>
          <w:tab w:val="num" w:pos="1429"/>
        </w:tabs>
        <w:spacing w:before="240" w:after="120" w:line="360" w:lineRule="auto"/>
        <w:ind w:left="960"/>
        <w:jc w:val="both"/>
        <w:rPr>
          <w:rFonts w:ascii="Arial" w:eastAsia="Times New Roman" w:hAnsi="Arial" w:cs="Times New Roman"/>
          <w:spacing w:val="-5"/>
          <w:szCs w:val="20"/>
        </w:rPr>
      </w:pPr>
      <w:r w:rsidRPr="004F6C43">
        <w:rPr>
          <w:rFonts w:ascii="Arial" w:eastAsia="Times New Roman" w:hAnsi="Arial" w:cs="Times New Roman"/>
          <w:spacing w:val="-5"/>
          <w:szCs w:val="20"/>
        </w:rPr>
        <w:t xml:space="preserve">Otvorenie zasadnutia </w:t>
      </w:r>
    </w:p>
    <w:p w:rsidR="004F6C43" w:rsidRPr="004F6C43" w:rsidRDefault="004F6C43" w:rsidP="00FA2828">
      <w:pPr>
        <w:numPr>
          <w:ilvl w:val="0"/>
          <w:numId w:val="1"/>
        </w:numPr>
        <w:tabs>
          <w:tab w:val="num" w:pos="942"/>
          <w:tab w:val="num" w:pos="1429"/>
        </w:tabs>
        <w:spacing w:before="240" w:after="120" w:line="360" w:lineRule="auto"/>
        <w:ind w:left="960"/>
        <w:jc w:val="both"/>
        <w:rPr>
          <w:rFonts w:ascii="Arial" w:eastAsia="Times New Roman" w:hAnsi="Arial" w:cs="Times New Roman"/>
          <w:spacing w:val="-5"/>
          <w:szCs w:val="20"/>
        </w:rPr>
      </w:pPr>
      <w:r w:rsidRPr="004F6C43">
        <w:rPr>
          <w:rFonts w:ascii="Arial" w:eastAsia="Times New Roman" w:hAnsi="Arial" w:cs="Times New Roman"/>
          <w:spacing w:val="-5"/>
          <w:szCs w:val="20"/>
        </w:rPr>
        <w:t xml:space="preserve">Kontrola uznášania schopnosti, voľba </w:t>
      </w:r>
      <w:r w:rsidR="006520F5">
        <w:rPr>
          <w:rFonts w:ascii="Arial" w:eastAsia="Times New Roman" w:hAnsi="Arial" w:cs="Times New Roman"/>
          <w:spacing w:val="-5"/>
          <w:szCs w:val="20"/>
        </w:rPr>
        <w:t>zapisovateľa a</w:t>
      </w:r>
      <w:r w:rsidR="00FA2828">
        <w:rPr>
          <w:rFonts w:ascii="Arial" w:eastAsia="Times New Roman" w:hAnsi="Arial" w:cs="Times New Roman"/>
          <w:spacing w:val="-5"/>
          <w:szCs w:val="20"/>
        </w:rPr>
        <w:t xml:space="preserve"> voľba </w:t>
      </w:r>
      <w:r w:rsidRPr="004F6C43">
        <w:rPr>
          <w:rFonts w:ascii="Arial" w:eastAsia="Times New Roman" w:hAnsi="Arial" w:cs="Times New Roman"/>
          <w:spacing w:val="-5"/>
          <w:szCs w:val="20"/>
        </w:rPr>
        <w:t xml:space="preserve">overovateľa zápisnice </w:t>
      </w:r>
    </w:p>
    <w:p w:rsidR="004F6C43" w:rsidRDefault="00FA2828" w:rsidP="00FA2828">
      <w:pPr>
        <w:numPr>
          <w:ilvl w:val="0"/>
          <w:numId w:val="1"/>
        </w:numPr>
        <w:tabs>
          <w:tab w:val="num" w:pos="942"/>
          <w:tab w:val="num" w:pos="1429"/>
        </w:tabs>
        <w:spacing w:before="240" w:after="120" w:line="360" w:lineRule="auto"/>
        <w:ind w:left="958" w:hanging="357"/>
        <w:jc w:val="both"/>
        <w:rPr>
          <w:rFonts w:ascii="Arial" w:eastAsia="Times New Roman" w:hAnsi="Arial" w:cs="Times New Roman"/>
          <w:spacing w:val="-5"/>
          <w:szCs w:val="20"/>
        </w:rPr>
      </w:pPr>
      <w:r>
        <w:rPr>
          <w:rFonts w:ascii="Arial" w:eastAsia="Times New Roman" w:hAnsi="Arial" w:cs="Times New Roman"/>
          <w:spacing w:val="-5"/>
          <w:szCs w:val="20"/>
        </w:rPr>
        <w:t>.........................................................</w:t>
      </w:r>
    </w:p>
    <w:p w:rsidR="00FA2828" w:rsidRDefault="00FA2828" w:rsidP="00FA2828">
      <w:pPr>
        <w:numPr>
          <w:ilvl w:val="0"/>
          <w:numId w:val="1"/>
        </w:numPr>
        <w:tabs>
          <w:tab w:val="num" w:pos="942"/>
          <w:tab w:val="num" w:pos="1429"/>
        </w:tabs>
        <w:spacing w:before="240" w:after="120" w:line="360" w:lineRule="auto"/>
        <w:ind w:left="958" w:hanging="357"/>
        <w:jc w:val="both"/>
        <w:rPr>
          <w:rFonts w:ascii="Arial" w:eastAsia="Times New Roman" w:hAnsi="Arial" w:cs="Times New Roman"/>
          <w:spacing w:val="-5"/>
          <w:szCs w:val="20"/>
        </w:rPr>
      </w:pPr>
      <w:r>
        <w:rPr>
          <w:rFonts w:ascii="Arial" w:eastAsia="Times New Roman" w:hAnsi="Arial" w:cs="Times New Roman"/>
          <w:spacing w:val="-5"/>
          <w:szCs w:val="20"/>
        </w:rPr>
        <w:t>.........................................................</w:t>
      </w:r>
    </w:p>
    <w:p w:rsidR="00FA2828" w:rsidRPr="004F6C43" w:rsidRDefault="00FA2828" w:rsidP="00FA2828">
      <w:pPr>
        <w:numPr>
          <w:ilvl w:val="0"/>
          <w:numId w:val="1"/>
        </w:numPr>
        <w:tabs>
          <w:tab w:val="num" w:pos="942"/>
          <w:tab w:val="num" w:pos="1429"/>
        </w:tabs>
        <w:spacing w:before="240" w:after="120" w:line="360" w:lineRule="auto"/>
        <w:ind w:left="958" w:hanging="357"/>
        <w:jc w:val="both"/>
        <w:rPr>
          <w:rFonts w:ascii="Arial" w:eastAsia="Times New Roman" w:hAnsi="Arial" w:cs="Times New Roman"/>
          <w:spacing w:val="-5"/>
          <w:szCs w:val="20"/>
        </w:rPr>
      </w:pPr>
      <w:r>
        <w:rPr>
          <w:rFonts w:ascii="Arial" w:eastAsia="Times New Roman" w:hAnsi="Arial" w:cs="Times New Roman"/>
          <w:spacing w:val="-5"/>
          <w:szCs w:val="20"/>
        </w:rPr>
        <w:t>.........................................................</w:t>
      </w:r>
    </w:p>
    <w:p w:rsidR="004F6C43" w:rsidRPr="004F6C43" w:rsidRDefault="004F6C43" w:rsidP="00FA2828">
      <w:pPr>
        <w:numPr>
          <w:ilvl w:val="0"/>
          <w:numId w:val="1"/>
        </w:numPr>
        <w:tabs>
          <w:tab w:val="num" w:pos="942"/>
          <w:tab w:val="num" w:pos="1429"/>
        </w:tabs>
        <w:spacing w:before="240" w:after="120" w:line="360" w:lineRule="auto"/>
        <w:ind w:left="960"/>
        <w:jc w:val="both"/>
        <w:rPr>
          <w:rFonts w:ascii="Arial" w:eastAsia="Times New Roman" w:hAnsi="Arial" w:cs="Times New Roman"/>
          <w:spacing w:val="-5"/>
          <w:szCs w:val="20"/>
        </w:rPr>
      </w:pPr>
      <w:r w:rsidRPr="004F6C43">
        <w:rPr>
          <w:rFonts w:ascii="Arial" w:eastAsia="Times New Roman" w:hAnsi="Arial" w:cs="Times New Roman"/>
          <w:spacing w:val="-5"/>
          <w:szCs w:val="20"/>
        </w:rPr>
        <w:t>Diskusia</w:t>
      </w:r>
    </w:p>
    <w:p w:rsidR="004F6C43" w:rsidRPr="004F6C43" w:rsidRDefault="004F6C43" w:rsidP="00FA2828">
      <w:pPr>
        <w:numPr>
          <w:ilvl w:val="0"/>
          <w:numId w:val="1"/>
        </w:numPr>
        <w:tabs>
          <w:tab w:val="num" w:pos="942"/>
          <w:tab w:val="num" w:pos="1429"/>
        </w:tabs>
        <w:spacing w:before="240" w:after="120" w:line="360" w:lineRule="auto"/>
        <w:ind w:left="960"/>
        <w:jc w:val="both"/>
        <w:rPr>
          <w:rFonts w:ascii="Arial" w:eastAsia="Times New Roman" w:hAnsi="Arial" w:cs="Times New Roman"/>
          <w:spacing w:val="-5"/>
          <w:szCs w:val="20"/>
        </w:rPr>
      </w:pPr>
      <w:r w:rsidRPr="004F6C43">
        <w:rPr>
          <w:rFonts w:ascii="Arial" w:eastAsia="Times New Roman" w:hAnsi="Arial" w:cs="Times New Roman"/>
          <w:spacing w:val="-5"/>
          <w:szCs w:val="20"/>
        </w:rPr>
        <w:t>Záver</w:t>
      </w:r>
    </w:p>
    <w:p w:rsidR="004F6C43" w:rsidRPr="004F6C43" w:rsidRDefault="004F6C43" w:rsidP="004F6C43">
      <w:pPr>
        <w:spacing w:after="0" w:line="360" w:lineRule="auto"/>
        <w:jc w:val="both"/>
        <w:rPr>
          <w:rFonts w:ascii="Arial" w:eastAsia="Times New Roman" w:hAnsi="Arial" w:cs="Times New Roman"/>
          <w:spacing w:val="-5"/>
          <w:szCs w:val="20"/>
        </w:rPr>
      </w:pPr>
    </w:p>
    <w:p w:rsidR="004F6C43" w:rsidRPr="004F6C43" w:rsidRDefault="004F6C43" w:rsidP="004F6C43">
      <w:pPr>
        <w:spacing w:after="0" w:line="240" w:lineRule="auto"/>
        <w:ind w:left="403"/>
        <w:jc w:val="both"/>
        <w:rPr>
          <w:rFonts w:ascii="Arial" w:eastAsia="Times New Roman" w:hAnsi="Arial" w:cs="Times New Roman"/>
          <w:b/>
          <w:bCs/>
          <w:spacing w:val="-5"/>
          <w:sz w:val="24"/>
          <w:szCs w:val="24"/>
        </w:rPr>
      </w:pPr>
      <w:r w:rsidRPr="004F6C43">
        <w:rPr>
          <w:rFonts w:ascii="Arial" w:eastAsia="Times New Roman" w:hAnsi="Arial" w:cs="Times New Roman"/>
          <w:b/>
          <w:bCs/>
          <w:spacing w:val="-5"/>
          <w:sz w:val="24"/>
          <w:szCs w:val="24"/>
        </w:rPr>
        <w:t xml:space="preserve">Účasť všetkých pozvaných  vlastníkov bytov je nutná! </w:t>
      </w:r>
    </w:p>
    <w:p w:rsidR="004F6C43" w:rsidRPr="004F6C43" w:rsidRDefault="004F6C43" w:rsidP="004F6C43">
      <w:pPr>
        <w:spacing w:before="120" w:after="0" w:line="240" w:lineRule="auto"/>
        <w:ind w:left="403"/>
        <w:jc w:val="both"/>
        <w:rPr>
          <w:rFonts w:ascii="Arial" w:eastAsia="Times New Roman" w:hAnsi="Arial" w:cs="Arial"/>
          <w:color w:val="0000FF"/>
          <w:spacing w:val="-5"/>
          <w:sz w:val="18"/>
          <w:szCs w:val="18"/>
          <w:lang w:eastAsia="sk-SK"/>
        </w:rPr>
      </w:pPr>
    </w:p>
    <w:p w:rsidR="004F6C43" w:rsidRPr="004F6C43" w:rsidRDefault="004F6C43" w:rsidP="004F6C43">
      <w:pPr>
        <w:spacing w:before="120" w:after="0" w:line="240" w:lineRule="auto"/>
        <w:ind w:left="403"/>
        <w:jc w:val="both"/>
        <w:rPr>
          <w:rFonts w:ascii="Arial" w:eastAsia="Times New Roman" w:hAnsi="Arial" w:cs="Times New Roman"/>
          <w:b/>
          <w:bCs/>
          <w:spacing w:val="-5"/>
          <w:sz w:val="18"/>
          <w:szCs w:val="18"/>
        </w:rPr>
      </w:pPr>
      <w:r w:rsidRPr="004F6C43">
        <w:rPr>
          <w:rFonts w:ascii="Arial" w:eastAsia="Times New Roman" w:hAnsi="Arial" w:cs="Arial"/>
          <w:color w:val="0000FF"/>
          <w:spacing w:val="-5"/>
          <w:sz w:val="18"/>
          <w:szCs w:val="18"/>
          <w:lang w:eastAsia="sk-SK"/>
        </w:rPr>
        <w:t>Schôdza vlastníkov je uznášaniaschopná, ak sú prítomní vlastníci bytov  a nebytových priestorov v dome, ktorí majú aspoň dve tretiny hlasov všetkých vlastníkov bytov a nebytových priestorov v dome. Na prijatie rozhodnutia na schôdzi vlastníkov je potrebný súhlas nadpolovičnej väčšiny hlasov prítomných vlastníkov bytov a nebytových priestorov v dome, ak zákon neustanovuje inak. Ak schôdza vlastníkov nie je ani hodinu po oznámenom začatí schôdze vlastníkov uznášaniaschopná, je na prijatie rozhodnutia potrebná nadpolovičná väčšina hlasov prítomných vlastníkov bytov a nebytových priestorov v dome; to neplatí, ak sa hlasuje podľa odsekov 4 a 5, § 7a ods. 1, § 7c ods. 2 písm. i) a ods. 3, § 8a ods. 1 a 6, § 8b ods. 2 písm. i), § 10 ods. 1 a § 16 ods. 3 a 4 zákona NR SR č.182/1993 Z.z. v platnom znení.</w:t>
      </w:r>
    </w:p>
    <w:p w:rsidR="005A1AAB" w:rsidRDefault="005A1AAB"/>
    <w:p w:rsidR="0089771B" w:rsidRDefault="0089771B"/>
    <w:p w:rsidR="0089771B" w:rsidRDefault="0089771B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  <w:bookmarkStart w:id="0" w:name="_GoBack"/>
      <w:bookmarkEnd w:id="0"/>
    </w:p>
    <w:sectPr w:rsidR="0089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A2"/>
    <w:multiLevelType w:val="singleLevel"/>
    <w:tmpl w:val="4442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7612247"/>
    <w:multiLevelType w:val="hybridMultilevel"/>
    <w:tmpl w:val="7B24B700"/>
    <w:lvl w:ilvl="0" w:tplc="041B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43"/>
    <w:rsid w:val="004F6C43"/>
    <w:rsid w:val="005A1AAB"/>
    <w:rsid w:val="006520F5"/>
    <w:rsid w:val="0089771B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2016-10-11T09:50:00Z</dcterms:created>
  <dcterms:modified xsi:type="dcterms:W3CDTF">2016-10-11T11:24:00Z</dcterms:modified>
</cp:coreProperties>
</file>